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afterAutospacing="0" w:line="283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bookmarkStart w:id="0" w:name="_GoBack"/>
      <w:r>
        <w:rPr>
          <w:rFonts w:ascii="Times New Roman" w:hAnsi="Times New Roman" w:eastAsia="Times New Roman" w:cs="Times New Roman"/>
          <w:sz w:val="24"/>
          <w:szCs w:val="24"/>
        </w:rPr>
      </w:r>
      <w:bookmarkEnd w:id="0"/>
      <w:r>
        <w:rPr>
          <w:rFonts w:ascii="Times New Roman" w:hAnsi="Times New Roman" w:eastAsia="Times New Roman" w:cs="Times New Roman"/>
          <w:sz w:val="24"/>
          <w:szCs w:val="24"/>
        </w:rPr>
        <w:t xml:space="preserve">Приложение № 1 к Техническим требованиям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afterAutospacing="0" w:line="283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 w:afterAutospacing="0" w:line="283" w:lineRule="atLeast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Требования к оформлению и составлению документации по ценообразованию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jc w:val="center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ОКПД2 42.91.20.190 Выполнение работ по ремонту сооружений золоотвала 2 очереди Биробиджанской ТЭЦ  г. Биробиджан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108" w:right="-108"/>
        <w:jc w:val="center"/>
        <w:spacing w:after="0" w:line="240" w:lineRule="auto"/>
        <w:rPr>
          <w:rFonts w:ascii="Times New Roman" w:hAnsi="Times New Roman" w:cs="Times New Roman"/>
          <w:i w:val="0"/>
          <w:i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i w:val="0"/>
          <w:iCs w:val="0"/>
          <w:sz w:val="24"/>
          <w:szCs w:val="24"/>
          <w:highlight w:val="white"/>
        </w:rPr>
        <w:t xml:space="preserve">Лот № </w:t>
      </w:r>
      <w:r>
        <w:rPr>
          <w:rFonts w:ascii="Times New Roman" w:hAnsi="Times New Roman" w:eastAsia="Times New Roman" w:cs="Times New Roman"/>
          <w:i w:val="0"/>
          <w:iCs w:val="0"/>
          <w:sz w:val="24"/>
          <w:szCs w:val="24"/>
          <w:highlight w:val="white"/>
        </w:rPr>
        <w:t xml:space="preserve">11033007-РЕМ ПРОД-2026-ДГК-БирТЭЦ</w:t>
      </w:r>
      <w:r>
        <w:rPr>
          <w:rFonts w:ascii="Times New Roman" w:hAnsi="Times New Roman" w:cs="Times New Roman"/>
          <w:i w:val="0"/>
          <w:iCs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i w:val="0"/>
          <w:iCs w:val="0"/>
          <w:sz w:val="24"/>
          <w:szCs w:val="24"/>
          <w:highlight w:val="white"/>
        </w:rPr>
      </w:r>
    </w:p>
    <w:p>
      <w:pPr>
        <w:ind w:left="-108" w:right="-108"/>
        <w:jc w:val="center"/>
        <w:spacing w:after="0" w:line="240" w:lineRule="auto"/>
        <w:rPr>
          <w:rFonts w:ascii="Times New Roman" w:hAnsi="Times New Roman" w:cs="Times New Roman"/>
          <w:bCs w:val="0"/>
          <w:i w:val="0"/>
          <w:sz w:val="24"/>
          <w:szCs w:val="24"/>
          <w:highlight w:val="white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i w:val="0"/>
          <w:iCs w:val="0"/>
          <w:sz w:val="24"/>
          <w:szCs w:val="24"/>
          <w:highlight w:val="none"/>
        </w:rPr>
      </w:r>
    </w:p>
    <w:p>
      <w:pPr>
        <w:pStyle w:val="868"/>
        <w:ind w:left="0" w:firstLine="0"/>
        <w:jc w:val="both"/>
        <w:spacing w:after="0" w:afterAutospacing="0" w:line="283" w:lineRule="atLeast"/>
        <w:widowControl/>
        <w:tabs>
          <w:tab w:val="left" w:pos="284" w:leader="none"/>
          <w:tab w:val="left" w:pos="993" w:leader="none"/>
          <w:tab w:val="clear" w:pos="1272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Версия программного комплекса «Гранд-Смета» (далее–ПК «Гранд-смета») 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должна быть не ниже 2023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8"/>
        <w:ind w:left="0" w:firstLine="0"/>
        <w:jc w:val="both"/>
        <w:spacing w:after="0" w:afterAutospacing="0" w:line="283" w:lineRule="atLeast"/>
        <w:widowControl/>
        <w:tabs>
          <w:tab w:val="left" w:pos="284" w:leader="none"/>
          <w:tab w:val="left" w:pos="993" w:leader="none"/>
          <w:tab w:val="clear" w:pos="1272" w:leader="none"/>
        </w:tabs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При составлении смет руководствова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ться «Методикой определения сметной стоимости строительства»,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территории Российской Федерации», введенной в действие Приказом Министерства строительства и ЖКХ РФ от 04.08.2020 № 421/пр. (далее – Методика определения сметной стоимости строительства) с учетом изменений и дополнений.</w:t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ind w:firstLine="709"/>
        <w:jc w:val="both"/>
        <w:spacing w:after="0" w:afterAutospacing="0" w:line="283" w:lineRule="atLeast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Сметная документация разработана Заказчиком (приложение №4 к настоящим Техническим требованиям), согласно следующих ценовых показателей (критериев):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 w:afterAutospacing="0" w:line="283" w:lineRule="atLeast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- по сборникам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ресурсно-индек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сным методом по базе ФСНБ-2022 с изменением 1-16 с использованием данных сплит-формы по состоянию на IV кв. 2025 для ЕАО. Норматив СП равен 30% от ФОТ.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afterAutospacing="0" w:line="283" w:lineRule="atLeast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Размеры расходов, связанных со служебными командировками, определяются коллективным договором и /или локальным нормативным актом Подрядчика, но не выше учтенной в сметном расчете величины, при этом размер суточных не должен превышать 500 руб./сут.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Оплата командировочных расходов производится Заказчиком в порядке, установленном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Договором для оплаты стоимости работ. Подрядчик обязан представлять по запросу Заказчика копии следующих документов, заверенных Подрядчиком, в том числе: приказ о командировке, проездные билеты, счета на оплату за проживание в гостинице и авансовые отчеты.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0" w:right="0" w:firstLine="708"/>
        <w:jc w:val="both"/>
        <w:spacing w:after="120" w:line="283" w:lineRule="atLeast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сводном сметном расчете включен резерв средств на непредвиденные работы и затраты, который составляет 3,0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% сметной стоимости работ. На стадии закрытия актов выполненных работ данный резерв в процентах не оплачивается. Данный резерв предназначен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для возмещения стоимости работ, потребность в которых может возникнуть в процессе производства работ, и подлежит оплате на основании акта на выполнение дополнительных работ, дополнительной сметы, составленной по аналогии с основной сметой Договора подряда.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 w:afterAutospacing="0" w:line="283" w:lineRule="atLeast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стадии закрытия актов выполненных работ резерв средств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б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з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атраты в процентах не оплачивается. Данные резерв предназначен для возмещения стоимости работ и затрат, потребность в которых может возникнуть в процессе производства работ, и подлежит оплате на основании акта на выполнение дополнительных работ,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ь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г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ии с основной сметой Договора подряда.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afterAutospacing="0" w:line="283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Стоимость материалов, определяемых по текущим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ценам, согласовывается с заказчиком до момента их приобретения с подтверждением обоснования стоимости данными конъюнктурного анализа от трех поставщиков.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7"/>
        <w:ind w:left="0" w:firstLine="709"/>
        <w:jc w:val="both"/>
        <w:spacing w:after="0" w:afterAutospacing="0" w:line="283" w:lineRule="atLeast"/>
        <w:shd w:val="clear" w:color="auto" w:fill="ffffff"/>
        <w:tabs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Материалы, приобретаемые Подрядчиком, стоимость которы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х определяется в смете по текущим ценам на основании конъюнктурного анализа либо по данным ресурсной карты, подлежат подтверждению платежными документами (счет-фактура, накладная, платежное поручение банка и др.). При этом условия оплаты таких материалов: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867"/>
        <w:ind w:left="0" w:firstLine="709"/>
        <w:jc w:val="both"/>
        <w:spacing w:after="0" w:afterAutospacing="0" w:line="283" w:lineRule="atLeast"/>
        <w:shd w:val="clear" w:color="auto" w:fill="ffffff"/>
        <w:tabs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если стоимость по платежным документам превышает договорную, то оплата происходит по стоимости договорной сметы;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867"/>
        <w:ind w:left="0" w:firstLine="709"/>
        <w:jc w:val="both"/>
        <w:spacing w:after="0" w:afterAutospacing="0" w:line="283" w:lineRule="atLeast"/>
        <w:shd w:val="clear" w:color="auto" w:fill="ffffff"/>
        <w:tabs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- если стоимость по платежным документам ниже договорной стоимости, то оплата происходит по стоимости по платежным документам.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707"/>
        <w:ind w:left="0" w:firstLine="709"/>
        <w:jc w:val="both"/>
        <w:spacing w:after="0" w:afterAutospacing="0" w:line="283" w:lineRule="atLeast"/>
        <w:shd w:val="clear" w:color="auto" w:fill="ffffff"/>
        <w:tabs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Материалы, учтённые в расценках по сборникам ФСБ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Ц, подтверждать платёжными документами не требуется. Поставляемые материалы должны соответствовать спецификациям, указанным в нормативной документации, иметь соответствующие сертификаты, технические паспорта и другие документы, подтверждающие их качество.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867"/>
        <w:ind w:left="0" w:firstLine="567"/>
        <w:jc w:val="both"/>
        <w:spacing w:after="0" w:afterAutospacing="0" w:line="283" w:lineRule="atLeast"/>
        <w:shd w:val="clear" w:color="auto" w:fill="ffffff"/>
        <w:tabs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left="0" w:right="0" w:firstLine="0"/>
        <w:jc w:val="both"/>
        <w:spacing w:after="0" w:afterAutospacing="0" w:line="283" w:lineRule="atLeast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right="0"/>
        <w:jc w:val="both"/>
        <w:spacing w:after="0" w:afterAutospacing="0" w:line="283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1272" w:hanging="279"/>
        <w:tabs>
          <w:tab w:val="num" w:pos="1272" w:leader="none"/>
        </w:tabs>
      </w:pPr>
      <w:rPr>
        <w:rFonts w:hint="default"/>
        <w:b w:val="0"/>
        <w:i w:val="0"/>
        <w:color w:val="000000"/>
        <w:sz w:val="22"/>
        <w:szCs w:val="22"/>
        <w:u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1844" w:hanging="567"/>
        <w:tabs>
          <w:tab w:val="num" w:pos="1844" w:leader="none"/>
        </w:tabs>
      </w:pPr>
      <w:rPr>
        <w:rFonts w:hint="default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93" w:hanging="851"/>
        <w:tabs>
          <w:tab w:val="num" w:pos="993" w:leader="none"/>
        </w:tabs>
      </w:pPr>
      <w:rPr>
        <w:rFonts w:hint="default"/>
        <w:strike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77" w:hanging="567"/>
        <w:tabs>
          <w:tab w:val="num" w:pos="1277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)"/>
      <w:lvlJc w:val="left"/>
      <w:pPr>
        <w:ind w:left="1718" w:hanging="1008"/>
        <w:tabs>
          <w:tab w:val="num" w:pos="171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592" w:hanging="1152"/>
        <w:tabs>
          <w:tab w:val="num" w:pos="259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736" w:hanging="1296"/>
        <w:tabs>
          <w:tab w:val="num" w:pos="273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80" w:hanging="1440"/>
        <w:tabs>
          <w:tab w:val="num" w:pos="28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024" w:hanging="1584"/>
        <w:tabs>
          <w:tab w:val="num" w:pos="3024" w:leader="none"/>
        </w:tabs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8">
    <w:name w:val="Heading 1 Char"/>
    <w:basedOn w:val="695"/>
    <w:link w:val="686"/>
    <w:uiPriority w:val="9"/>
    <w:rPr>
      <w:rFonts w:ascii="Arial" w:hAnsi="Arial" w:eastAsia="Arial" w:cs="Arial"/>
      <w:sz w:val="40"/>
      <w:szCs w:val="40"/>
    </w:rPr>
  </w:style>
  <w:style w:type="character" w:styleId="669">
    <w:name w:val="Heading 2 Char"/>
    <w:basedOn w:val="695"/>
    <w:link w:val="687"/>
    <w:uiPriority w:val="9"/>
    <w:rPr>
      <w:rFonts w:ascii="Arial" w:hAnsi="Arial" w:eastAsia="Arial" w:cs="Arial"/>
      <w:sz w:val="34"/>
    </w:rPr>
  </w:style>
  <w:style w:type="character" w:styleId="670">
    <w:name w:val="Heading 3 Char"/>
    <w:basedOn w:val="695"/>
    <w:link w:val="688"/>
    <w:uiPriority w:val="9"/>
    <w:rPr>
      <w:rFonts w:ascii="Arial" w:hAnsi="Arial" w:eastAsia="Arial" w:cs="Arial"/>
      <w:sz w:val="30"/>
      <w:szCs w:val="30"/>
    </w:rPr>
  </w:style>
  <w:style w:type="character" w:styleId="671">
    <w:name w:val="Heading 4 Char"/>
    <w:basedOn w:val="695"/>
    <w:link w:val="689"/>
    <w:uiPriority w:val="9"/>
    <w:rPr>
      <w:rFonts w:ascii="Arial" w:hAnsi="Arial" w:eastAsia="Arial" w:cs="Arial"/>
      <w:b/>
      <w:bCs/>
      <w:sz w:val="26"/>
      <w:szCs w:val="26"/>
    </w:rPr>
  </w:style>
  <w:style w:type="character" w:styleId="672">
    <w:name w:val="Heading 5 Char"/>
    <w:basedOn w:val="695"/>
    <w:link w:val="690"/>
    <w:uiPriority w:val="9"/>
    <w:rPr>
      <w:rFonts w:ascii="Arial" w:hAnsi="Arial" w:eastAsia="Arial" w:cs="Arial"/>
      <w:b/>
      <w:bCs/>
      <w:sz w:val="24"/>
      <w:szCs w:val="24"/>
    </w:rPr>
  </w:style>
  <w:style w:type="character" w:styleId="673">
    <w:name w:val="Heading 6 Char"/>
    <w:basedOn w:val="695"/>
    <w:link w:val="691"/>
    <w:uiPriority w:val="9"/>
    <w:rPr>
      <w:rFonts w:ascii="Arial" w:hAnsi="Arial" w:eastAsia="Arial" w:cs="Arial"/>
      <w:b/>
      <w:bCs/>
      <w:sz w:val="22"/>
      <w:szCs w:val="22"/>
    </w:rPr>
  </w:style>
  <w:style w:type="character" w:styleId="674">
    <w:name w:val="Heading 7 Char"/>
    <w:basedOn w:val="695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8 Char"/>
    <w:basedOn w:val="695"/>
    <w:link w:val="693"/>
    <w:uiPriority w:val="9"/>
    <w:rPr>
      <w:rFonts w:ascii="Arial" w:hAnsi="Arial" w:eastAsia="Arial" w:cs="Arial"/>
      <w:i/>
      <w:iCs/>
      <w:sz w:val="22"/>
      <w:szCs w:val="22"/>
    </w:rPr>
  </w:style>
  <w:style w:type="character" w:styleId="676">
    <w:name w:val="Heading 9 Char"/>
    <w:basedOn w:val="695"/>
    <w:link w:val="694"/>
    <w:uiPriority w:val="9"/>
    <w:rPr>
      <w:rFonts w:ascii="Arial" w:hAnsi="Arial" w:eastAsia="Arial" w:cs="Arial"/>
      <w:i/>
      <w:iCs/>
      <w:sz w:val="21"/>
      <w:szCs w:val="21"/>
    </w:rPr>
  </w:style>
  <w:style w:type="character" w:styleId="677">
    <w:name w:val="Title Char"/>
    <w:basedOn w:val="695"/>
    <w:link w:val="709"/>
    <w:uiPriority w:val="10"/>
    <w:rPr>
      <w:sz w:val="48"/>
      <w:szCs w:val="48"/>
    </w:rPr>
  </w:style>
  <w:style w:type="character" w:styleId="678">
    <w:name w:val="Subtitle Char"/>
    <w:basedOn w:val="695"/>
    <w:link w:val="711"/>
    <w:uiPriority w:val="11"/>
    <w:rPr>
      <w:sz w:val="24"/>
      <w:szCs w:val="24"/>
    </w:rPr>
  </w:style>
  <w:style w:type="character" w:styleId="679">
    <w:name w:val="Quote Char"/>
    <w:link w:val="713"/>
    <w:uiPriority w:val="29"/>
    <w:rPr>
      <w:i/>
    </w:rPr>
  </w:style>
  <w:style w:type="character" w:styleId="680">
    <w:name w:val="Intense Quote Char"/>
    <w:link w:val="715"/>
    <w:uiPriority w:val="30"/>
    <w:rPr>
      <w:i/>
    </w:rPr>
  </w:style>
  <w:style w:type="character" w:styleId="681">
    <w:name w:val="Header Char"/>
    <w:basedOn w:val="695"/>
    <w:link w:val="717"/>
    <w:uiPriority w:val="99"/>
  </w:style>
  <w:style w:type="character" w:styleId="682">
    <w:name w:val="Caption Char"/>
    <w:basedOn w:val="721"/>
    <w:link w:val="719"/>
    <w:uiPriority w:val="99"/>
  </w:style>
  <w:style w:type="character" w:styleId="683">
    <w:name w:val="Footnote Text Char"/>
    <w:link w:val="850"/>
    <w:uiPriority w:val="99"/>
    <w:rPr>
      <w:sz w:val="18"/>
    </w:rPr>
  </w:style>
  <w:style w:type="character" w:styleId="684">
    <w:name w:val="Endnote Text Char"/>
    <w:link w:val="853"/>
    <w:uiPriority w:val="99"/>
    <w:rPr>
      <w:sz w:val="20"/>
    </w:rPr>
  </w:style>
  <w:style w:type="paragraph" w:styleId="685" w:default="1">
    <w:name w:val="Normal"/>
    <w:qFormat/>
    <w:pPr>
      <w:spacing w:after="160" w:line="259" w:lineRule="auto"/>
    </w:pPr>
  </w:style>
  <w:style w:type="paragraph" w:styleId="686">
    <w:name w:val="Heading 1"/>
    <w:basedOn w:val="685"/>
    <w:next w:val="685"/>
    <w:link w:val="69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7">
    <w:name w:val="Heading 2"/>
    <w:basedOn w:val="685"/>
    <w:next w:val="685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8">
    <w:name w:val="Heading 3"/>
    <w:basedOn w:val="685"/>
    <w:next w:val="685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9">
    <w:name w:val="Heading 4"/>
    <w:basedOn w:val="685"/>
    <w:next w:val="685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685"/>
    <w:next w:val="685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685"/>
    <w:next w:val="685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92">
    <w:name w:val="Heading 7"/>
    <w:basedOn w:val="685"/>
    <w:next w:val="685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93">
    <w:name w:val="Heading 8"/>
    <w:basedOn w:val="685"/>
    <w:next w:val="685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94">
    <w:name w:val="Heading 9"/>
    <w:basedOn w:val="685"/>
    <w:next w:val="685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character" w:styleId="698" w:customStyle="1">
    <w:name w:val="Заголовок 1 Знак"/>
    <w:basedOn w:val="695"/>
    <w:link w:val="686"/>
    <w:uiPriority w:val="9"/>
    <w:rPr>
      <w:rFonts w:ascii="Arial" w:hAnsi="Arial" w:eastAsia="Arial" w:cs="Arial"/>
      <w:sz w:val="40"/>
      <w:szCs w:val="40"/>
    </w:rPr>
  </w:style>
  <w:style w:type="character" w:styleId="699" w:customStyle="1">
    <w:name w:val="Заголовок 2 Знак"/>
    <w:basedOn w:val="695"/>
    <w:link w:val="687"/>
    <w:uiPriority w:val="9"/>
    <w:rPr>
      <w:rFonts w:ascii="Arial" w:hAnsi="Arial" w:eastAsia="Arial" w:cs="Arial"/>
      <w:sz w:val="34"/>
    </w:rPr>
  </w:style>
  <w:style w:type="character" w:styleId="700" w:customStyle="1">
    <w:name w:val="Заголовок 3 Знак"/>
    <w:basedOn w:val="695"/>
    <w:link w:val="688"/>
    <w:uiPriority w:val="9"/>
    <w:rPr>
      <w:rFonts w:ascii="Arial" w:hAnsi="Arial" w:eastAsia="Arial" w:cs="Arial"/>
      <w:sz w:val="30"/>
      <w:szCs w:val="30"/>
    </w:rPr>
  </w:style>
  <w:style w:type="character" w:styleId="701" w:customStyle="1">
    <w:name w:val="Заголовок 4 Знак"/>
    <w:basedOn w:val="695"/>
    <w:link w:val="689"/>
    <w:uiPriority w:val="9"/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Заголовок 5 Знак"/>
    <w:basedOn w:val="695"/>
    <w:link w:val="690"/>
    <w:uiPriority w:val="9"/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Заголовок 6 Знак"/>
    <w:basedOn w:val="695"/>
    <w:link w:val="691"/>
    <w:uiPriority w:val="9"/>
    <w:rPr>
      <w:rFonts w:ascii="Arial" w:hAnsi="Arial" w:eastAsia="Arial" w:cs="Arial"/>
      <w:b/>
      <w:bCs/>
      <w:sz w:val="22"/>
      <w:szCs w:val="22"/>
    </w:rPr>
  </w:style>
  <w:style w:type="character" w:styleId="704" w:customStyle="1">
    <w:name w:val="Заголовок 7 Знак"/>
    <w:basedOn w:val="695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5" w:customStyle="1">
    <w:name w:val="Заголовок 8 Знак"/>
    <w:basedOn w:val="695"/>
    <w:link w:val="693"/>
    <w:uiPriority w:val="9"/>
    <w:rPr>
      <w:rFonts w:ascii="Arial" w:hAnsi="Arial" w:eastAsia="Arial" w:cs="Arial"/>
      <w:i/>
      <w:iCs/>
      <w:sz w:val="22"/>
      <w:szCs w:val="22"/>
    </w:rPr>
  </w:style>
  <w:style w:type="character" w:styleId="706" w:customStyle="1">
    <w:name w:val="Заголовок 9 Знак"/>
    <w:basedOn w:val="695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685"/>
    <w:uiPriority w:val="34"/>
    <w:qFormat/>
    <w:pPr>
      <w:contextualSpacing/>
      <w:ind w:left="720"/>
    </w:pPr>
  </w:style>
  <w:style w:type="paragraph" w:styleId="708">
    <w:name w:val="No Spacing"/>
    <w:uiPriority w:val="1"/>
    <w:qFormat/>
    <w:pPr>
      <w:spacing w:after="0" w:line="240" w:lineRule="auto"/>
    </w:pPr>
  </w:style>
  <w:style w:type="paragraph" w:styleId="709">
    <w:name w:val="Title"/>
    <w:basedOn w:val="685"/>
    <w:next w:val="685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 w:customStyle="1">
    <w:name w:val="Заголовок Знак"/>
    <w:basedOn w:val="695"/>
    <w:link w:val="709"/>
    <w:uiPriority w:val="10"/>
    <w:rPr>
      <w:sz w:val="48"/>
      <w:szCs w:val="48"/>
    </w:rPr>
  </w:style>
  <w:style w:type="paragraph" w:styleId="711">
    <w:name w:val="Subtitle"/>
    <w:basedOn w:val="685"/>
    <w:next w:val="685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 w:customStyle="1">
    <w:name w:val="Подзаголовок Знак"/>
    <w:basedOn w:val="695"/>
    <w:link w:val="711"/>
    <w:uiPriority w:val="11"/>
    <w:rPr>
      <w:sz w:val="24"/>
      <w:szCs w:val="24"/>
    </w:rPr>
  </w:style>
  <w:style w:type="paragraph" w:styleId="713">
    <w:name w:val="Quote"/>
    <w:basedOn w:val="685"/>
    <w:next w:val="685"/>
    <w:link w:val="714"/>
    <w:uiPriority w:val="29"/>
    <w:qFormat/>
    <w:pPr>
      <w:ind w:left="720" w:right="720"/>
    </w:pPr>
    <w:rPr>
      <w:i/>
    </w:rPr>
  </w:style>
  <w:style w:type="character" w:styleId="714" w:customStyle="1">
    <w:name w:val="Цитата 2 Знак"/>
    <w:link w:val="713"/>
    <w:uiPriority w:val="29"/>
    <w:rPr>
      <w:i/>
    </w:rPr>
  </w:style>
  <w:style w:type="paragraph" w:styleId="715">
    <w:name w:val="Intense Quote"/>
    <w:basedOn w:val="685"/>
    <w:next w:val="685"/>
    <w:link w:val="71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 w:customStyle="1">
    <w:name w:val="Выделенная цитата Знак"/>
    <w:link w:val="715"/>
    <w:uiPriority w:val="30"/>
    <w:rPr>
      <w:i/>
    </w:rPr>
  </w:style>
  <w:style w:type="paragraph" w:styleId="717">
    <w:name w:val="Header"/>
    <w:basedOn w:val="685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 w:customStyle="1">
    <w:name w:val="Верхний колонтитул Знак"/>
    <w:basedOn w:val="695"/>
    <w:link w:val="717"/>
    <w:uiPriority w:val="99"/>
  </w:style>
  <w:style w:type="paragraph" w:styleId="719">
    <w:name w:val="Footer"/>
    <w:basedOn w:val="685"/>
    <w:link w:val="72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0" w:customStyle="1">
    <w:name w:val="Footer Char"/>
    <w:basedOn w:val="695"/>
    <w:uiPriority w:val="99"/>
  </w:style>
  <w:style w:type="paragraph" w:styleId="721">
    <w:name w:val="Caption"/>
    <w:basedOn w:val="685"/>
    <w:next w:val="685"/>
    <w:link w:val="68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2" w:customStyle="1">
    <w:name w:val="Нижний колонтитул Знак"/>
    <w:link w:val="719"/>
    <w:uiPriority w:val="99"/>
  </w:style>
  <w:style w:type="table" w:styleId="723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4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5">
    <w:name w:val="Plain Table 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3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4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5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6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7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8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5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6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7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8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9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0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1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2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3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4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5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6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7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8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5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6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7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8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9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0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1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2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4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9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0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1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2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3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4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5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6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7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8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9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0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1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2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3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4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5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6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7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8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9">
    <w:name w:val="Hyperlink"/>
    <w:uiPriority w:val="99"/>
    <w:unhideWhenUsed/>
    <w:rPr>
      <w:color w:val="0000ff" w:themeColor="hyperlink"/>
      <w:u w:val="single"/>
    </w:rPr>
  </w:style>
  <w:style w:type="paragraph" w:styleId="850">
    <w:name w:val="footnote text"/>
    <w:basedOn w:val="685"/>
    <w:link w:val="851"/>
    <w:uiPriority w:val="99"/>
    <w:semiHidden/>
    <w:unhideWhenUsed/>
    <w:pPr>
      <w:spacing w:after="40" w:line="240" w:lineRule="auto"/>
    </w:pPr>
    <w:rPr>
      <w:sz w:val="18"/>
    </w:rPr>
  </w:style>
  <w:style w:type="character" w:styleId="851" w:customStyle="1">
    <w:name w:val="Текст сноски Знак"/>
    <w:link w:val="850"/>
    <w:uiPriority w:val="99"/>
    <w:rPr>
      <w:sz w:val="18"/>
    </w:rPr>
  </w:style>
  <w:style w:type="character" w:styleId="852">
    <w:name w:val="footnote reference"/>
    <w:basedOn w:val="695"/>
    <w:uiPriority w:val="99"/>
    <w:unhideWhenUsed/>
    <w:rPr>
      <w:vertAlign w:val="superscript"/>
    </w:rPr>
  </w:style>
  <w:style w:type="paragraph" w:styleId="853">
    <w:name w:val="endnote text"/>
    <w:basedOn w:val="685"/>
    <w:link w:val="854"/>
    <w:uiPriority w:val="99"/>
    <w:semiHidden/>
    <w:unhideWhenUsed/>
    <w:pPr>
      <w:spacing w:after="0" w:line="240" w:lineRule="auto"/>
    </w:pPr>
    <w:rPr>
      <w:sz w:val="20"/>
    </w:rPr>
  </w:style>
  <w:style w:type="character" w:styleId="854" w:customStyle="1">
    <w:name w:val="Текст концевой сноски Знак"/>
    <w:link w:val="853"/>
    <w:uiPriority w:val="99"/>
    <w:rPr>
      <w:sz w:val="20"/>
    </w:rPr>
  </w:style>
  <w:style w:type="character" w:styleId="855">
    <w:name w:val="endnote reference"/>
    <w:basedOn w:val="695"/>
    <w:uiPriority w:val="99"/>
    <w:semiHidden/>
    <w:unhideWhenUsed/>
    <w:rPr>
      <w:vertAlign w:val="superscript"/>
    </w:rPr>
  </w:style>
  <w:style w:type="paragraph" w:styleId="856">
    <w:name w:val="toc 1"/>
    <w:basedOn w:val="685"/>
    <w:next w:val="685"/>
    <w:uiPriority w:val="39"/>
    <w:unhideWhenUsed/>
    <w:pPr>
      <w:spacing w:after="57"/>
    </w:pPr>
  </w:style>
  <w:style w:type="paragraph" w:styleId="857">
    <w:name w:val="toc 2"/>
    <w:basedOn w:val="685"/>
    <w:next w:val="685"/>
    <w:uiPriority w:val="39"/>
    <w:unhideWhenUsed/>
    <w:pPr>
      <w:ind w:left="283"/>
      <w:spacing w:after="57"/>
    </w:pPr>
  </w:style>
  <w:style w:type="paragraph" w:styleId="858">
    <w:name w:val="toc 3"/>
    <w:basedOn w:val="685"/>
    <w:next w:val="685"/>
    <w:uiPriority w:val="39"/>
    <w:unhideWhenUsed/>
    <w:pPr>
      <w:ind w:left="567"/>
      <w:spacing w:after="57"/>
    </w:pPr>
  </w:style>
  <w:style w:type="paragraph" w:styleId="859">
    <w:name w:val="toc 4"/>
    <w:basedOn w:val="685"/>
    <w:next w:val="685"/>
    <w:uiPriority w:val="39"/>
    <w:unhideWhenUsed/>
    <w:pPr>
      <w:ind w:left="850"/>
      <w:spacing w:after="57"/>
    </w:pPr>
  </w:style>
  <w:style w:type="paragraph" w:styleId="860">
    <w:name w:val="toc 5"/>
    <w:basedOn w:val="685"/>
    <w:next w:val="685"/>
    <w:uiPriority w:val="39"/>
    <w:unhideWhenUsed/>
    <w:pPr>
      <w:ind w:left="1134"/>
      <w:spacing w:after="57"/>
    </w:pPr>
  </w:style>
  <w:style w:type="paragraph" w:styleId="861">
    <w:name w:val="toc 6"/>
    <w:basedOn w:val="685"/>
    <w:next w:val="685"/>
    <w:uiPriority w:val="39"/>
    <w:unhideWhenUsed/>
    <w:pPr>
      <w:ind w:left="1417"/>
      <w:spacing w:after="57"/>
    </w:pPr>
  </w:style>
  <w:style w:type="paragraph" w:styleId="862">
    <w:name w:val="toc 7"/>
    <w:basedOn w:val="685"/>
    <w:next w:val="685"/>
    <w:uiPriority w:val="39"/>
    <w:unhideWhenUsed/>
    <w:pPr>
      <w:ind w:left="1701"/>
      <w:spacing w:after="57"/>
    </w:pPr>
  </w:style>
  <w:style w:type="paragraph" w:styleId="863">
    <w:name w:val="toc 8"/>
    <w:basedOn w:val="685"/>
    <w:next w:val="685"/>
    <w:uiPriority w:val="39"/>
    <w:unhideWhenUsed/>
    <w:pPr>
      <w:ind w:left="1984"/>
      <w:spacing w:after="57"/>
    </w:pPr>
  </w:style>
  <w:style w:type="paragraph" w:styleId="864">
    <w:name w:val="toc 9"/>
    <w:basedOn w:val="685"/>
    <w:next w:val="685"/>
    <w:uiPriority w:val="39"/>
    <w:unhideWhenUsed/>
    <w:pPr>
      <w:ind w:left="2268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685"/>
    <w:next w:val="685"/>
    <w:uiPriority w:val="99"/>
    <w:unhideWhenUsed/>
    <w:pPr>
      <w:spacing w:after="0"/>
    </w:pPr>
  </w:style>
  <w:style w:type="paragraph" w:styleId="867" w:customStyle="1">
    <w:name w:val="Абзац списка;Алроса_маркер (Уровень 4);Маркер;ПАРАГРАФ;Абзац списка2;Table-Normal;RSHB_Table-Normal;Заголовок_3;Подпись рисунка"/>
    <w:basedOn w:val="781"/>
    <w:pPr>
      <w:contextualSpacing/>
      <w:ind w:left="720" w:right="0" w:firstLine="0"/>
      <w:jc w:val="left"/>
      <w:keepLines w:val="0"/>
      <w:keepNext w:val="0"/>
      <w:pageBreakBefore w:val="0"/>
      <w:spacing w:before="0" w:beforeAutospacing="0" w:after="8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68" w:customStyle="1">
    <w:name w:val="ConsPlusNormal"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</dc:creator>
  <cp:lastModifiedBy>shishova_yo</cp:lastModifiedBy>
  <cp:revision>25</cp:revision>
  <dcterms:created xsi:type="dcterms:W3CDTF">2023-02-27T22:44:00Z</dcterms:created>
  <dcterms:modified xsi:type="dcterms:W3CDTF">2026-02-17T23:24:48Z</dcterms:modified>
</cp:coreProperties>
</file>